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84F026" w14:textId="77777777" w:rsidR="00597C98" w:rsidRDefault="00597C98" w:rsidP="00597C98">
      <w:pPr>
        <w:jc w:val="center"/>
        <w:rPr>
          <w:sz w:val="20"/>
          <w:szCs w:val="20"/>
        </w:rPr>
      </w:pPr>
      <w:r>
        <w:rPr>
          <w:rFonts w:eastAsia="Times New Roman"/>
          <w:b/>
          <w:bCs/>
          <w:sz w:val="24"/>
          <w:szCs w:val="24"/>
        </w:rPr>
        <w:t>C</w:t>
      </w:r>
      <w:r>
        <w:rPr>
          <w:rFonts w:eastAsia="Times New Roman"/>
          <w:b/>
          <w:bCs/>
          <w:sz w:val="19"/>
          <w:szCs w:val="19"/>
        </w:rPr>
        <w:t>OMPENSI CONNESSI ALL</w:t>
      </w:r>
      <w:r>
        <w:rPr>
          <w:rFonts w:eastAsia="Times New Roman"/>
          <w:b/>
          <w:bCs/>
          <w:sz w:val="24"/>
          <w:szCs w:val="24"/>
        </w:rPr>
        <w:t>’</w:t>
      </w:r>
      <w:r>
        <w:rPr>
          <w:rFonts w:eastAsia="Times New Roman"/>
          <w:b/>
          <w:bCs/>
          <w:sz w:val="19"/>
          <w:szCs w:val="19"/>
        </w:rPr>
        <w:t>ASSUNZIONE DELLA CARICA</w:t>
      </w:r>
    </w:p>
    <w:p w14:paraId="3BFDAB9C" w14:textId="77777777" w:rsidR="00597C98" w:rsidRDefault="00597C98" w:rsidP="00597C98">
      <w:pPr>
        <w:spacing w:line="200" w:lineRule="exact"/>
        <w:rPr>
          <w:sz w:val="24"/>
          <w:szCs w:val="24"/>
        </w:rPr>
      </w:pPr>
    </w:p>
    <w:p w14:paraId="0DAD564B" w14:textId="77777777" w:rsidR="00597C98" w:rsidRDefault="00597C98" w:rsidP="00597C98">
      <w:pPr>
        <w:spacing w:line="200" w:lineRule="exact"/>
        <w:rPr>
          <w:sz w:val="24"/>
          <w:szCs w:val="24"/>
        </w:rPr>
      </w:pPr>
    </w:p>
    <w:p w14:paraId="4DD42DD2" w14:textId="77777777" w:rsidR="00597C98" w:rsidRDefault="00597C98" w:rsidP="00597C98">
      <w:pPr>
        <w:spacing w:line="252" w:lineRule="exact"/>
        <w:rPr>
          <w:sz w:val="24"/>
          <w:szCs w:val="24"/>
        </w:rPr>
      </w:pPr>
    </w:p>
    <w:p w14:paraId="5FEEC26E" w14:textId="0B945E00" w:rsidR="00597C98" w:rsidRDefault="00597C98" w:rsidP="00597C98">
      <w:pPr>
        <w:rPr>
          <w:rFonts w:eastAsia="Times New Roman"/>
          <w:sz w:val="24"/>
          <w:szCs w:val="24"/>
        </w:rPr>
      </w:pPr>
      <w:r>
        <w:rPr>
          <w:rFonts w:eastAsia="Times New Roman"/>
          <w:sz w:val="24"/>
          <w:szCs w:val="24"/>
        </w:rPr>
        <w:t xml:space="preserve">Periodo di riferimento triennio </w:t>
      </w:r>
      <w:r w:rsidR="000D206A">
        <w:rPr>
          <w:rFonts w:eastAsia="Times New Roman"/>
          <w:sz w:val="24"/>
          <w:szCs w:val="24"/>
        </w:rPr>
        <w:t>2020-2022</w:t>
      </w:r>
      <w:r>
        <w:rPr>
          <w:rFonts w:eastAsia="Times New Roman"/>
          <w:sz w:val="24"/>
          <w:szCs w:val="24"/>
        </w:rPr>
        <w:t xml:space="preserve"> (in carica fino all’approvazione del bilancio </w:t>
      </w:r>
      <w:r w:rsidR="000D206A">
        <w:rPr>
          <w:rFonts w:eastAsia="Times New Roman"/>
          <w:sz w:val="24"/>
          <w:szCs w:val="24"/>
        </w:rPr>
        <w:t>2022</w:t>
      </w:r>
      <w:r>
        <w:rPr>
          <w:rFonts w:eastAsia="Times New Roman"/>
          <w:sz w:val="24"/>
          <w:szCs w:val="24"/>
        </w:rPr>
        <w:t>)</w:t>
      </w:r>
    </w:p>
    <w:p w14:paraId="65A5DA70" w14:textId="77777777" w:rsidR="005A4C95" w:rsidRDefault="003455E1"/>
    <w:tbl>
      <w:tblPr>
        <w:tblStyle w:val="Grigliatabella"/>
        <w:tblW w:w="0" w:type="auto"/>
        <w:tblLook w:val="04A0" w:firstRow="1" w:lastRow="0" w:firstColumn="1" w:lastColumn="0" w:noHBand="0" w:noVBand="1"/>
      </w:tblPr>
      <w:tblGrid>
        <w:gridCol w:w="4248"/>
        <w:gridCol w:w="1701"/>
        <w:gridCol w:w="3673"/>
      </w:tblGrid>
      <w:tr w:rsidR="003455E1" w:rsidRPr="003455E1" w14:paraId="0790AC39" w14:textId="77777777" w:rsidTr="003455E1">
        <w:tc>
          <w:tcPr>
            <w:tcW w:w="4248" w:type="dxa"/>
          </w:tcPr>
          <w:p w14:paraId="3EACDA49" w14:textId="72A9C52E" w:rsidR="003455E1" w:rsidRPr="003455E1" w:rsidRDefault="003455E1" w:rsidP="003455E1">
            <w:pPr>
              <w:jc w:val="center"/>
              <w:rPr>
                <w:b/>
                <w:bCs/>
                <w:sz w:val="24"/>
                <w:szCs w:val="24"/>
              </w:rPr>
            </w:pPr>
            <w:r w:rsidRPr="003455E1">
              <w:rPr>
                <w:b/>
                <w:bCs/>
                <w:sz w:val="24"/>
                <w:szCs w:val="24"/>
              </w:rPr>
              <w:t>CARICA</w:t>
            </w:r>
          </w:p>
        </w:tc>
        <w:tc>
          <w:tcPr>
            <w:tcW w:w="1701" w:type="dxa"/>
          </w:tcPr>
          <w:p w14:paraId="083F0115" w14:textId="75FE7D41" w:rsidR="003455E1" w:rsidRPr="003455E1" w:rsidRDefault="003455E1" w:rsidP="003455E1">
            <w:pPr>
              <w:jc w:val="center"/>
              <w:rPr>
                <w:b/>
                <w:bCs/>
                <w:sz w:val="24"/>
                <w:szCs w:val="24"/>
              </w:rPr>
            </w:pPr>
            <w:r w:rsidRPr="003455E1">
              <w:rPr>
                <w:b/>
                <w:bCs/>
                <w:sz w:val="24"/>
                <w:szCs w:val="24"/>
              </w:rPr>
              <w:t>NOME</w:t>
            </w:r>
          </w:p>
        </w:tc>
        <w:tc>
          <w:tcPr>
            <w:tcW w:w="3673" w:type="dxa"/>
          </w:tcPr>
          <w:p w14:paraId="74193EF1" w14:textId="3F181715" w:rsidR="003455E1" w:rsidRPr="003455E1" w:rsidRDefault="003455E1" w:rsidP="003455E1">
            <w:pPr>
              <w:jc w:val="center"/>
              <w:rPr>
                <w:b/>
                <w:bCs/>
                <w:sz w:val="24"/>
                <w:szCs w:val="24"/>
              </w:rPr>
            </w:pPr>
            <w:r w:rsidRPr="003455E1">
              <w:rPr>
                <w:b/>
                <w:bCs/>
                <w:sz w:val="24"/>
                <w:szCs w:val="24"/>
              </w:rPr>
              <w:t>COMPENSO</w:t>
            </w:r>
          </w:p>
        </w:tc>
      </w:tr>
      <w:tr w:rsidR="003455E1" w:rsidRPr="003455E1" w14:paraId="5CEBB6F6" w14:textId="77777777" w:rsidTr="003455E1">
        <w:tc>
          <w:tcPr>
            <w:tcW w:w="4248" w:type="dxa"/>
          </w:tcPr>
          <w:p w14:paraId="542BC62C" w14:textId="7D576A1D" w:rsidR="003455E1" w:rsidRPr="003455E1" w:rsidRDefault="003455E1" w:rsidP="003455E1">
            <w:pPr>
              <w:spacing w:line="360" w:lineRule="auto"/>
              <w:rPr>
                <w:sz w:val="24"/>
                <w:szCs w:val="24"/>
              </w:rPr>
            </w:pPr>
            <w:r w:rsidRPr="003455E1">
              <w:rPr>
                <w:sz w:val="24"/>
                <w:szCs w:val="24"/>
              </w:rPr>
              <w:t>Il Compenso dell’Amministratore Delegato è deliberato dal Consiglio di Amministrazione della società, in applicazione di una delibera dell’assemblea ordinaria dei soci, che stabilisce il tetto degli emolumenti annui lordi spettanti ai consiglieri investiti di particolari cariche.</w:t>
            </w:r>
          </w:p>
        </w:tc>
        <w:tc>
          <w:tcPr>
            <w:tcW w:w="1701" w:type="dxa"/>
          </w:tcPr>
          <w:p w14:paraId="2E5E5A0E" w14:textId="4C883DBE" w:rsidR="003455E1" w:rsidRPr="003455E1" w:rsidRDefault="003455E1" w:rsidP="003455E1">
            <w:pPr>
              <w:spacing w:line="360" w:lineRule="auto"/>
              <w:rPr>
                <w:sz w:val="24"/>
                <w:szCs w:val="24"/>
              </w:rPr>
            </w:pPr>
            <w:r w:rsidRPr="003455E1">
              <w:rPr>
                <w:sz w:val="24"/>
                <w:szCs w:val="24"/>
              </w:rPr>
              <w:t>Matteo Beccuti</w:t>
            </w:r>
          </w:p>
        </w:tc>
        <w:tc>
          <w:tcPr>
            <w:tcW w:w="3673" w:type="dxa"/>
          </w:tcPr>
          <w:p w14:paraId="7A02FFAD" w14:textId="77777777" w:rsidR="003455E1" w:rsidRPr="003455E1" w:rsidRDefault="003455E1" w:rsidP="003455E1">
            <w:pPr>
              <w:spacing w:line="360" w:lineRule="auto"/>
              <w:rPr>
                <w:sz w:val="24"/>
                <w:szCs w:val="24"/>
              </w:rPr>
            </w:pPr>
            <w:r w:rsidRPr="003455E1">
              <w:rPr>
                <w:sz w:val="24"/>
                <w:szCs w:val="24"/>
              </w:rPr>
              <w:t>40.000 Euro</w:t>
            </w:r>
          </w:p>
          <w:p w14:paraId="74B19D48" w14:textId="558F72DC" w:rsidR="003455E1" w:rsidRPr="003455E1" w:rsidRDefault="003455E1" w:rsidP="003455E1">
            <w:pPr>
              <w:spacing w:line="360" w:lineRule="auto"/>
              <w:rPr>
                <w:sz w:val="24"/>
                <w:szCs w:val="24"/>
              </w:rPr>
            </w:pPr>
            <w:r w:rsidRPr="003455E1">
              <w:rPr>
                <w:sz w:val="24"/>
                <w:szCs w:val="24"/>
              </w:rPr>
              <w:t xml:space="preserve">Compenso annuo lordo, comprensivo dei gettoni di presenza per le riunioni del C.d.A. e comprensivo di una quota variabile (Management By </w:t>
            </w:r>
            <w:proofErr w:type="spellStart"/>
            <w:r w:rsidRPr="003455E1">
              <w:rPr>
                <w:sz w:val="24"/>
                <w:szCs w:val="24"/>
              </w:rPr>
              <w:t>Objectives</w:t>
            </w:r>
            <w:proofErr w:type="spellEnd"/>
            <w:r w:rsidRPr="003455E1">
              <w:rPr>
                <w:sz w:val="24"/>
                <w:szCs w:val="24"/>
              </w:rPr>
              <w:t xml:space="preserve">, MBO) pari al 30% del compenso annuo lordo </w:t>
            </w:r>
            <w:r w:rsidRPr="003455E1">
              <w:rPr>
                <w:sz w:val="24"/>
                <w:szCs w:val="24"/>
              </w:rPr>
              <w:t xml:space="preserve">deliberato dall’Assemblea dei Soci </w:t>
            </w:r>
            <w:r w:rsidRPr="003455E1">
              <w:rPr>
                <w:sz w:val="24"/>
                <w:szCs w:val="24"/>
              </w:rPr>
              <w:t xml:space="preserve">su obiettivi fissati </w:t>
            </w:r>
            <w:r w:rsidRPr="003455E1">
              <w:rPr>
                <w:sz w:val="24"/>
                <w:szCs w:val="24"/>
              </w:rPr>
              <w:t>dal C.d.A.</w:t>
            </w:r>
          </w:p>
        </w:tc>
      </w:tr>
    </w:tbl>
    <w:p w14:paraId="26B9EAC8" w14:textId="77777777" w:rsidR="00597C98" w:rsidRPr="003455E1" w:rsidRDefault="00597C98">
      <w:pPr>
        <w:rPr>
          <w:sz w:val="24"/>
          <w:szCs w:val="24"/>
        </w:rPr>
      </w:pPr>
    </w:p>
    <w:p w14:paraId="705E2359" w14:textId="77777777" w:rsidR="00597C98" w:rsidRPr="003455E1" w:rsidRDefault="00597C98">
      <w:pPr>
        <w:rPr>
          <w:sz w:val="24"/>
          <w:szCs w:val="24"/>
        </w:rPr>
      </w:pPr>
    </w:p>
    <w:p w14:paraId="667F0F2E" w14:textId="77777777" w:rsidR="00597C98" w:rsidRPr="003455E1" w:rsidRDefault="00597C98">
      <w:pPr>
        <w:rPr>
          <w:sz w:val="24"/>
          <w:szCs w:val="24"/>
        </w:rPr>
      </w:pPr>
    </w:p>
    <w:p w14:paraId="33764FAC" w14:textId="6E820CC3" w:rsidR="00597C98" w:rsidRPr="003455E1" w:rsidRDefault="00597C98" w:rsidP="00597C98">
      <w:pPr>
        <w:rPr>
          <w:sz w:val="24"/>
          <w:szCs w:val="24"/>
        </w:rPr>
      </w:pPr>
      <w:r w:rsidRPr="003455E1">
        <w:rPr>
          <w:sz w:val="24"/>
          <w:szCs w:val="24"/>
        </w:rPr>
        <w:t xml:space="preserve">Torino, </w:t>
      </w:r>
      <w:r w:rsidR="000D206A" w:rsidRPr="003455E1">
        <w:rPr>
          <w:sz w:val="24"/>
          <w:szCs w:val="24"/>
        </w:rPr>
        <w:t>2</w:t>
      </w:r>
      <w:r w:rsidR="003455E1" w:rsidRPr="003455E1">
        <w:rPr>
          <w:sz w:val="24"/>
          <w:szCs w:val="24"/>
        </w:rPr>
        <w:t>2</w:t>
      </w:r>
      <w:r w:rsidR="000D206A" w:rsidRPr="003455E1">
        <w:rPr>
          <w:sz w:val="24"/>
          <w:szCs w:val="24"/>
        </w:rPr>
        <w:t>/07/2020</w:t>
      </w:r>
    </w:p>
    <w:p w14:paraId="18A665AE" w14:textId="77777777" w:rsidR="003455E1" w:rsidRPr="003455E1" w:rsidRDefault="003455E1">
      <w:pPr>
        <w:rPr>
          <w:sz w:val="24"/>
          <w:szCs w:val="24"/>
        </w:rPr>
      </w:pPr>
    </w:p>
    <w:p w14:paraId="4B19071B" w14:textId="77777777" w:rsidR="003455E1" w:rsidRPr="003455E1" w:rsidRDefault="003455E1">
      <w:pPr>
        <w:rPr>
          <w:sz w:val="24"/>
          <w:szCs w:val="24"/>
        </w:rPr>
      </w:pPr>
    </w:p>
    <w:p w14:paraId="63FBD5A0" w14:textId="06FBF4FD" w:rsidR="00597C98" w:rsidRPr="003455E1" w:rsidRDefault="003455E1" w:rsidP="003455E1">
      <w:pPr>
        <w:ind w:left="6804"/>
        <w:jc w:val="center"/>
        <w:rPr>
          <w:sz w:val="24"/>
          <w:szCs w:val="24"/>
        </w:rPr>
      </w:pPr>
      <w:r w:rsidRPr="003455E1">
        <w:rPr>
          <w:sz w:val="24"/>
          <w:szCs w:val="24"/>
        </w:rPr>
        <w:t>Matteo Beccuti</w:t>
      </w:r>
    </w:p>
    <w:sectPr w:rsidR="00597C98" w:rsidRPr="003455E1" w:rsidSect="006A4C6C">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C98"/>
    <w:rsid w:val="000A0CDB"/>
    <w:rsid w:val="000D206A"/>
    <w:rsid w:val="003455E1"/>
    <w:rsid w:val="00597C98"/>
    <w:rsid w:val="00613D6E"/>
    <w:rsid w:val="006A4C6C"/>
    <w:rsid w:val="00841049"/>
    <w:rsid w:val="0095701B"/>
    <w:rsid w:val="00C602CC"/>
    <w:rsid w:val="00C978A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4B026"/>
  <w15:chartTrackingRefBased/>
  <w15:docId w15:val="{1E8CEC17-FDE9-0C43-B9F5-02EB61D63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rsid w:val="00597C98"/>
    <w:rPr>
      <w:rFonts w:ascii="Times New Roman" w:eastAsiaTheme="minorEastAsia" w:hAnsi="Times New Roman" w:cs="Times New Roman"/>
      <w:sz w:val="22"/>
      <w:szCs w:val="2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3455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115</Words>
  <Characters>657</Characters>
  <Application>Microsoft Office Word</Application>
  <DocSecurity>0</DocSecurity>
  <Lines>5</Lines>
  <Paragraphs>1</Paragraphs>
  <ScaleCrop>false</ScaleCrop>
  <Company/>
  <LinksUpToDate>false</LinksUpToDate>
  <CharactersWithSpaces>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Davide Longo</cp:lastModifiedBy>
  <cp:revision>4</cp:revision>
  <dcterms:created xsi:type="dcterms:W3CDTF">2019-05-21T09:57:00Z</dcterms:created>
  <dcterms:modified xsi:type="dcterms:W3CDTF">2020-07-21T12:30:00Z</dcterms:modified>
</cp:coreProperties>
</file>